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AE" w:rsidRPr="00000EA4" w:rsidRDefault="00930DAE" w:rsidP="00930DAE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</w:p>
    <w:p w:rsidR="00930DAE" w:rsidRDefault="00930DAE" w:rsidP="00930D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00EA4">
        <w:rPr>
          <w:rFonts w:ascii="Georgia" w:eastAsia="Times New Roman" w:hAnsi="Georgia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Поддержка и развитие субъектов малого и среднего предпринимательства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     Малый и средний бизнес на Дону с каждым годом наращивает обороты и укрепляет свои позиции не только внутри области, но и за её пределами. Программно-целевой и комплексный подход к решению проблем предпринимательского сообщества, многолетний последовательный курс на динамичное развитие малого и среднего бизнеса призваны решить приоритетные задачи социально-экономического развития Ростовской области - обеспечение экономического роста и занятости населения, повышение инвестиционной и инновационной привлекательности области и благосостояния жителей Донского края.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В 2007 году полномочиями по содействию развитию данного сектора экономики в законодательном порядке наделены как органы исполнительной власти субъектов Российской Федерации, так и органы местного самоуправления.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Согласно вступившему в силу с 1 января 2008 года Федеральному закону «О развитии малого и среднего предпринимательства в Российской Федерации» от 24.07.2007 № 209-ФЗ, определены критерии отнесения предприятия к малому и среднему бизнесу: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1) для юридических лиц - суммарная доля участия РФ, субъектов Российской Федерации, муниципальных образований, общественных или религиозных организаций (объединений), благотворительных и иных фондах (за исключением инвестиционных фондов) в уставном капитале указанных юридических лиц не должна превышать двадцать пять процентов;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2) численность работников:</w:t>
      </w:r>
    </w:p>
    <w:p w:rsidR="00C911EB" w:rsidRDefault="00C911EB" w:rsidP="00C911EB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Roboto" w:hAnsi="Roboto"/>
          <w:color w:val="020B22"/>
        </w:rPr>
      </w:pPr>
      <w:proofErr w:type="spellStart"/>
      <w:r>
        <w:rPr>
          <w:rFonts w:ascii="Roboto" w:hAnsi="Roboto"/>
          <w:color w:val="020B22"/>
        </w:rPr>
        <w:t>микропредприятия</w:t>
      </w:r>
      <w:proofErr w:type="spellEnd"/>
      <w:r>
        <w:rPr>
          <w:rFonts w:ascii="Roboto" w:hAnsi="Roboto"/>
          <w:color w:val="020B22"/>
        </w:rPr>
        <w:t xml:space="preserve"> - до 15 человек,</w:t>
      </w:r>
    </w:p>
    <w:p w:rsidR="00C911EB" w:rsidRDefault="00C911EB" w:rsidP="00C911EB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малые предприятия - до 100 человек включительно,</w:t>
      </w:r>
    </w:p>
    <w:p w:rsidR="00C911EB" w:rsidRDefault="00C911EB" w:rsidP="00C911EB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средние предприятия - от 101 до 250 человек включительно;</w:t>
      </w:r>
    </w:p>
    <w:p w:rsidR="00C911EB" w:rsidRDefault="00C911EB" w:rsidP="00C911EB">
      <w:pPr>
        <w:pStyle w:val="a3"/>
        <w:shd w:val="clear" w:color="auto" w:fill="FFFFFF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3) объем максимальной выручки от реализации товаров (работ, услуг) за предыдущий год без учета налога на добавленную стоимость для следующих категорий субъектов малого и среднего предпринимательства:</w:t>
      </w:r>
    </w:p>
    <w:p w:rsidR="00C911EB" w:rsidRDefault="00C911EB" w:rsidP="00C911EB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Roboto" w:hAnsi="Roboto"/>
          <w:color w:val="020B22"/>
        </w:rPr>
      </w:pPr>
      <w:proofErr w:type="spellStart"/>
      <w:r>
        <w:rPr>
          <w:rFonts w:ascii="Roboto" w:hAnsi="Roboto"/>
          <w:color w:val="020B22"/>
        </w:rPr>
        <w:t>микропредприятия</w:t>
      </w:r>
      <w:proofErr w:type="spellEnd"/>
      <w:r>
        <w:rPr>
          <w:rFonts w:ascii="Roboto" w:hAnsi="Roboto"/>
          <w:color w:val="020B22"/>
        </w:rPr>
        <w:t xml:space="preserve"> - 120 </w:t>
      </w:r>
      <w:proofErr w:type="gramStart"/>
      <w:r>
        <w:rPr>
          <w:rFonts w:ascii="Roboto" w:hAnsi="Roboto"/>
          <w:color w:val="020B22"/>
        </w:rPr>
        <w:t>млн</w:t>
      </w:r>
      <w:proofErr w:type="gramEnd"/>
      <w:r>
        <w:rPr>
          <w:rFonts w:ascii="Roboto" w:hAnsi="Roboto"/>
          <w:color w:val="020B22"/>
        </w:rPr>
        <w:t xml:space="preserve"> руб.,</w:t>
      </w:r>
    </w:p>
    <w:p w:rsidR="00C911EB" w:rsidRDefault="00C911EB" w:rsidP="00C911EB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малые предприятия - 800 </w:t>
      </w:r>
      <w:proofErr w:type="gramStart"/>
      <w:r>
        <w:rPr>
          <w:rFonts w:ascii="Roboto" w:hAnsi="Roboto"/>
          <w:color w:val="020B22"/>
        </w:rPr>
        <w:t>млн</w:t>
      </w:r>
      <w:proofErr w:type="gramEnd"/>
      <w:r>
        <w:rPr>
          <w:rFonts w:ascii="Roboto" w:hAnsi="Roboto"/>
          <w:color w:val="020B22"/>
        </w:rPr>
        <w:t xml:space="preserve"> руб.,</w:t>
      </w:r>
    </w:p>
    <w:p w:rsidR="00C911EB" w:rsidRDefault="00C911EB" w:rsidP="00C911EB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средние предприятия - 2000 </w:t>
      </w:r>
      <w:proofErr w:type="gramStart"/>
      <w:r>
        <w:rPr>
          <w:rFonts w:ascii="Roboto" w:hAnsi="Roboto"/>
          <w:color w:val="020B22"/>
        </w:rPr>
        <w:t>млн</w:t>
      </w:r>
      <w:proofErr w:type="gramEnd"/>
      <w:r>
        <w:rPr>
          <w:rFonts w:ascii="Roboto" w:hAnsi="Roboto"/>
          <w:color w:val="020B22"/>
        </w:rPr>
        <w:t xml:space="preserve"> рублей.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Эти предельные значения установлены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предпринимательства».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В Ростовской области в 2018 году принята </w:t>
      </w:r>
      <w:hyperlink r:id="rId6" w:history="1">
        <w:r>
          <w:rPr>
            <w:rStyle w:val="a5"/>
            <w:rFonts w:ascii="Roboto" w:hAnsi="Roboto"/>
            <w:color w:val="2449AF"/>
          </w:rPr>
          <w:t>государственная программа</w:t>
        </w:r>
      </w:hyperlink>
      <w:r>
        <w:rPr>
          <w:rFonts w:ascii="Roboto" w:hAnsi="Roboto"/>
          <w:color w:val="020B22"/>
        </w:rPr>
        <w:t> Ростовской области «Экономическое развитие и инновационная экономика», которая реализуется с 2019 по 2030 годы.</w:t>
      </w:r>
    </w:p>
    <w:p w:rsidR="00C911EB" w:rsidRDefault="00C911EB" w:rsidP="00C911E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Мероприятия подпрограмм нацелены на улучшение условий ведения бизнеса в Ростовской области – создание благоприятных условий для привлечения инвестиций и развития малого и среднего бизнеса; снижение административных барьеров в экономике; повышение грамотности в предпринимательской деятельности; увеличение оборота малых и средних предприятий; увеличение производительности труда в секторе малого и среднего предпринимательства; </w:t>
      </w:r>
      <w:proofErr w:type="gramStart"/>
      <w:r>
        <w:rPr>
          <w:rFonts w:ascii="Roboto" w:hAnsi="Roboto"/>
          <w:color w:val="020B22"/>
        </w:rPr>
        <w:t xml:space="preserve">увеличение доли занятого населения в секторе малого и среднего предпринимательства в общей численности занятого населения; комплексное развитие моногородов; реализация мер по повышению инновационной привлекательности региона; популяризация и повышение престижности инновационной деятельности; создание условий для увеличения объема отгруженной инновационной продукции </w:t>
      </w:r>
      <w:r>
        <w:rPr>
          <w:rFonts w:ascii="Roboto" w:hAnsi="Roboto"/>
          <w:color w:val="020B22"/>
        </w:rPr>
        <w:lastRenderedPageBreak/>
        <w:t>(товаров, работ, услуг); повышение доступности источников финансирования для инновационных проектов и проведения опытно-конструкторских работ;</w:t>
      </w:r>
      <w:proofErr w:type="gramEnd"/>
      <w:r>
        <w:rPr>
          <w:rFonts w:ascii="Roboto" w:hAnsi="Roboto"/>
          <w:color w:val="020B22"/>
        </w:rPr>
        <w:t xml:space="preserve"> </w:t>
      </w:r>
      <w:proofErr w:type="gramStart"/>
      <w:r>
        <w:rPr>
          <w:rFonts w:ascii="Roboto" w:hAnsi="Roboto"/>
          <w:color w:val="020B22"/>
        </w:rPr>
        <w:t>модернизация инновационной инфраструктуры; создание условий для формирования и развития эффективной инфраструктуры поддержки инновационной деятельности в Ростовской области; повышение конкурентоспособности Ростовской области во внешней среде; увеличение совокупного объема экспорта товарной продукции и услуг в Ростовской области; развитие международных и межрегиональных связей; повышение уровня правовой грамотности потребителей и информированности потребителей о потребительских свойствах товаров (работ, услуг);</w:t>
      </w:r>
      <w:proofErr w:type="gramEnd"/>
      <w:r>
        <w:rPr>
          <w:rFonts w:ascii="Roboto" w:hAnsi="Roboto"/>
          <w:color w:val="020B22"/>
        </w:rPr>
        <w:t xml:space="preserve"> внедрение программно-целевого метода планирования и проектного управления.</w:t>
      </w:r>
    </w:p>
    <w:p w:rsidR="00C911EB" w:rsidRPr="00000EA4" w:rsidRDefault="00C911EB" w:rsidP="00930D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p w:rsidR="00DD0995" w:rsidRDefault="00C911EB" w:rsidP="00DD09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 xml:space="preserve">         </w:t>
      </w:r>
      <w:r w:rsidR="00930DAE" w:rsidRPr="00000EA4">
        <w:rPr>
          <w:rFonts w:ascii="Georgia" w:hAnsi="Georgia"/>
          <w:color w:val="212121"/>
        </w:rPr>
        <w:t xml:space="preserve">На сегодняшний день на территории </w:t>
      </w:r>
      <w:r w:rsidR="00930DAE">
        <w:rPr>
          <w:rFonts w:ascii="Georgia" w:hAnsi="Georgia"/>
          <w:color w:val="212121"/>
        </w:rPr>
        <w:t xml:space="preserve">Шолоховского городского </w:t>
      </w:r>
      <w:r w:rsidR="00930DAE" w:rsidRPr="00000EA4">
        <w:rPr>
          <w:rFonts w:ascii="Georgia" w:hAnsi="Georgia"/>
          <w:color w:val="212121"/>
        </w:rPr>
        <w:t xml:space="preserve">  поселения  зарегистрировано </w:t>
      </w:r>
      <w:r w:rsidR="00A75C31">
        <w:rPr>
          <w:color w:val="212121"/>
        </w:rPr>
        <w:t>148</w:t>
      </w:r>
      <w:r w:rsidR="00930DAE" w:rsidRPr="00000EA4">
        <w:rPr>
          <w:rFonts w:ascii="Georgia" w:hAnsi="Georgia"/>
          <w:color w:val="212121"/>
        </w:rPr>
        <w:t xml:space="preserve"> </w:t>
      </w:r>
      <w:r w:rsidR="00934FC5">
        <w:rPr>
          <w:rFonts w:ascii="Georgia" w:hAnsi="Georgia"/>
          <w:color w:val="212121"/>
        </w:rPr>
        <w:t>предприятий малого и средне</w:t>
      </w:r>
      <w:r w:rsidR="00A75C31">
        <w:rPr>
          <w:rFonts w:ascii="Georgia" w:hAnsi="Georgia"/>
          <w:color w:val="212121"/>
        </w:rPr>
        <w:t xml:space="preserve">го предпринимательства, из них </w:t>
      </w:r>
      <w:r w:rsidR="00A75C31" w:rsidRPr="00A75C31">
        <w:rPr>
          <w:color w:val="212121"/>
        </w:rPr>
        <w:t>13</w:t>
      </w:r>
      <w:r w:rsidR="00934FC5" w:rsidRPr="00A75C31">
        <w:rPr>
          <w:color w:val="212121"/>
        </w:rPr>
        <w:t xml:space="preserve">  это малые предприятия и </w:t>
      </w:r>
      <w:r w:rsidR="00A75C31">
        <w:rPr>
          <w:color w:val="212121"/>
        </w:rPr>
        <w:t>135</w:t>
      </w:r>
      <w:r w:rsidR="00934FC5" w:rsidRPr="00A75C31">
        <w:rPr>
          <w:color w:val="212121"/>
        </w:rPr>
        <w:t xml:space="preserve"> </w:t>
      </w:r>
      <w:proofErr w:type="spellStart"/>
      <w:r w:rsidR="00934FC5" w:rsidRPr="00A75C31">
        <w:rPr>
          <w:color w:val="212121"/>
        </w:rPr>
        <w:t>микропредприятия</w:t>
      </w:r>
      <w:proofErr w:type="spellEnd"/>
      <w:r w:rsidR="00934FC5" w:rsidRPr="00A75C31">
        <w:rPr>
          <w:color w:val="212121"/>
        </w:rPr>
        <w:t xml:space="preserve"> (</w:t>
      </w:r>
      <w:r w:rsidR="00930DAE" w:rsidRPr="00A75C31">
        <w:rPr>
          <w:color w:val="212121"/>
        </w:rPr>
        <w:t>индивидуальны</w:t>
      </w:r>
      <w:r w:rsidR="00934FC5" w:rsidRPr="00A75C31">
        <w:rPr>
          <w:color w:val="212121"/>
        </w:rPr>
        <w:t>е</w:t>
      </w:r>
      <w:r w:rsidR="00930DAE" w:rsidRPr="00A75C31">
        <w:rPr>
          <w:color w:val="212121"/>
        </w:rPr>
        <w:t xml:space="preserve"> предпринимател</w:t>
      </w:r>
      <w:r w:rsidR="00934FC5" w:rsidRPr="00A75C31">
        <w:rPr>
          <w:color w:val="212121"/>
        </w:rPr>
        <w:t>и</w:t>
      </w:r>
      <w:r w:rsidR="00934FC5">
        <w:rPr>
          <w:rFonts w:ascii="Georgia" w:hAnsi="Georgia"/>
          <w:color w:val="212121"/>
        </w:rPr>
        <w:t>)</w:t>
      </w:r>
      <w:r w:rsidR="00930DAE" w:rsidRPr="00000EA4">
        <w:rPr>
          <w:rFonts w:ascii="Georgia" w:hAnsi="Georgia"/>
          <w:color w:val="212121"/>
        </w:rPr>
        <w:t xml:space="preserve">, осуществляющих </w:t>
      </w:r>
      <w:r w:rsidR="00930DAE">
        <w:rPr>
          <w:rFonts w:ascii="Georgia" w:hAnsi="Georgia"/>
          <w:color w:val="212121"/>
        </w:rPr>
        <w:t xml:space="preserve">свою </w:t>
      </w:r>
      <w:r w:rsidR="00930DAE" w:rsidRPr="00000EA4">
        <w:rPr>
          <w:rFonts w:ascii="Georgia" w:hAnsi="Georgia"/>
          <w:color w:val="212121"/>
        </w:rPr>
        <w:t xml:space="preserve">деятельность </w:t>
      </w:r>
      <w:r w:rsidR="00930DAE">
        <w:rPr>
          <w:rFonts w:ascii="Georgia" w:hAnsi="Georgia"/>
          <w:color w:val="212121"/>
        </w:rPr>
        <w:t>в разных направлениях ведения бизнеса</w:t>
      </w:r>
      <w:r w:rsidR="00930DAE" w:rsidRPr="00000EA4">
        <w:rPr>
          <w:rFonts w:ascii="Georgia" w:hAnsi="Georgia"/>
          <w:color w:val="212121"/>
        </w:rPr>
        <w:t xml:space="preserve">. </w:t>
      </w:r>
      <w:r w:rsidR="00930DAE">
        <w:rPr>
          <w:rFonts w:ascii="Georgia" w:hAnsi="Georgia"/>
          <w:color w:val="212121"/>
        </w:rPr>
        <w:t xml:space="preserve"> </w:t>
      </w:r>
    </w:p>
    <w:p w:rsidR="00930DAE" w:rsidRDefault="00DD0995" w:rsidP="00DD099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DD099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Потребительский рынок муниципального образования представляет собой сеть магазинов и павильонов. Всего на территории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84</w:t>
      </w:r>
      <w:r w:rsidRPr="00DD099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стационарных </w:t>
      </w:r>
      <w:r w:rsidRPr="00DD099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объекта розничной торговли, из них стационарных магазинов 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72</w:t>
      </w:r>
      <w:r w:rsidRPr="00DD099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DD099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павильонов - </w:t>
      </w:r>
      <w:r w:rsidRPr="00DD099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Pr="00DD0995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. 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Созданы  условия  для жителей поселения в обеспечении  их услугами  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розничной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торговли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, бытового обслуживания, строительства, транспортных услуг.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  Основной отраслевой направленностью является розничная торговля.</w:t>
      </w:r>
    </w:p>
    <w:p w:rsidR="00930DAE" w:rsidRPr="00000EA4" w:rsidRDefault="00C911EB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</w:t>
      </w:r>
      <w:r w:rsidR="00930DAE"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Основными, приоритетными направлениями развития малого бизнеса являются: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оказание информационно-консультативной поддержки предпринимательства;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развитие инфраструктуры поддержки малого предпринимательства;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обучение и подготовка кадров в сфере малого предпринимательства;</w:t>
      </w:r>
    </w:p>
    <w:p w:rsidR="00930DAE" w:rsidRPr="00000EA4" w:rsidRDefault="00C911EB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</w:t>
      </w:r>
      <w:r w:rsidR="00930DAE"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обеспечение социальной защиты и безопасности в сфере малого предпринимательства;</w:t>
      </w:r>
    </w:p>
    <w:p w:rsidR="00930DAE" w:rsidRPr="00000EA4" w:rsidRDefault="00930DAE" w:rsidP="00930DAE">
      <w:pPr>
        <w:shd w:val="clear" w:color="auto" w:fill="FFFFFF"/>
        <w:spacing w:after="264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-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930DAE" w:rsidRPr="00000EA4" w:rsidRDefault="00DD0995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 </w:t>
      </w:r>
      <w:r w:rsidR="00930DAE"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Основные мероприятия развития малого и среднего бизнеса являются: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;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предоставление в аренду муниципального имущества для развития малого и среднего предпринимательства</w:t>
      </w: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;</w:t>
      </w:r>
    </w:p>
    <w:p w:rsidR="00930DAE" w:rsidRPr="00000EA4" w:rsidRDefault="00930DAE" w:rsidP="00930D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- проведение конкурсов, семинаров тренингов, круглых столов и иных мероприятий с субъек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softHyphen/>
        <w:t>тами малого и среднего предпри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softHyphen/>
        <w:t>нимательства.</w:t>
      </w:r>
    </w:p>
    <w:p w:rsidR="00930DAE" w:rsidRPr="00000EA4" w:rsidRDefault="00930DAE" w:rsidP="00930DAE">
      <w:pPr>
        <w:shd w:val="clear" w:color="auto" w:fill="FFFFFF"/>
        <w:spacing w:after="264" w:line="240" w:lineRule="auto"/>
        <w:jc w:val="both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          </w:t>
      </w: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  </w:t>
      </w:r>
    </w:p>
    <w:p w:rsidR="00930DAE" w:rsidRPr="00000EA4" w:rsidRDefault="00930DAE" w:rsidP="00930DAE">
      <w:pPr>
        <w:shd w:val="clear" w:color="auto" w:fill="FFFFFF"/>
        <w:spacing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Показатели развития малого бизнеса 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383"/>
        <w:gridCol w:w="1418"/>
        <w:gridCol w:w="1417"/>
      </w:tblGrid>
      <w:tr w:rsidR="00930DAE" w:rsidRPr="00000EA4" w:rsidTr="006B2684">
        <w:tc>
          <w:tcPr>
            <w:tcW w:w="3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30DAE" w:rsidRPr="00000EA4" w:rsidTr="006B2684">
        <w:trPr>
          <w:trHeight w:val="651"/>
        </w:trPr>
        <w:tc>
          <w:tcPr>
            <w:tcW w:w="3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>Количество малых предприятий, единиц</w:t>
            </w:r>
          </w:p>
        </w:tc>
        <w:tc>
          <w:tcPr>
            <w:tcW w:w="1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934FC5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5C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A75C31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A75C31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930DAE" w:rsidRPr="00000EA4" w:rsidTr="006B2684">
        <w:trPr>
          <w:trHeight w:val="893"/>
        </w:trPr>
        <w:tc>
          <w:tcPr>
            <w:tcW w:w="3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работающих на малых и средних  предприятиях, человек</w:t>
            </w:r>
          </w:p>
        </w:tc>
        <w:tc>
          <w:tcPr>
            <w:tcW w:w="1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5C19E7" w:rsidP="00934FC5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5C19E7" w:rsidP="00934FC5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5C19E7" w:rsidP="00934FC5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</w:tr>
      <w:tr w:rsidR="00930DAE" w:rsidRPr="00000EA4" w:rsidTr="006B2684">
        <w:tc>
          <w:tcPr>
            <w:tcW w:w="3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0EA4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заработная плата, рублей</w:t>
            </w:r>
          </w:p>
        </w:tc>
        <w:tc>
          <w:tcPr>
            <w:tcW w:w="13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AE" w:rsidRPr="00000EA4" w:rsidRDefault="00930DAE" w:rsidP="00934FC5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4F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DAE" w:rsidRPr="00000EA4" w:rsidRDefault="00930DAE" w:rsidP="006B2684">
            <w:pPr>
              <w:spacing w:after="264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</w:tr>
    </w:tbl>
    <w:p w:rsidR="000930B8" w:rsidRPr="000930B8" w:rsidRDefault="00930DAE" w:rsidP="000930B8">
      <w:pPr>
        <w:pStyle w:val="1"/>
        <w:shd w:val="clear" w:color="auto" w:fill="FFFFFF"/>
        <w:spacing w:before="600" w:after="300"/>
        <w:rPr>
          <w:rFonts w:ascii="Roboto Condensed" w:hAnsi="Roboto Condensed"/>
          <w:color w:val="auto"/>
        </w:rPr>
      </w:pPr>
      <w:r w:rsidRPr="00000EA4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 </w:t>
      </w:r>
      <w:r w:rsidR="000930B8" w:rsidRPr="000930B8">
        <w:rPr>
          <w:rFonts w:ascii="Roboto Condensed" w:hAnsi="Roboto Condensed"/>
          <w:color w:val="auto"/>
        </w:rPr>
        <w:t>Имущественная поддержка малого и среднего предпринимательства</w:t>
      </w:r>
    </w:p>
    <w:p w:rsidR="000930B8" w:rsidRPr="000930B8" w:rsidRDefault="000930B8" w:rsidP="00093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0930B8">
        <w:rPr>
          <w:rFonts w:ascii="Roboto" w:hAnsi="Roboto"/>
        </w:rPr>
        <w:t xml:space="preserve">В соответствии с Федеральным законом от 24 июля 2007 года № 209-ФЗ «О развитии малого и среднего предпринимательства в РФ» и другими правовыми актами в </w:t>
      </w:r>
      <w:r>
        <w:rPr>
          <w:rFonts w:ascii="Roboto" w:hAnsi="Roboto"/>
        </w:rPr>
        <w:t>Шолоховском городском поселении</w:t>
      </w:r>
      <w:r w:rsidRPr="000930B8">
        <w:rPr>
          <w:rFonts w:ascii="Roboto" w:hAnsi="Roboto"/>
        </w:rPr>
        <w:t xml:space="preserve"> оказывается имущественная поддержка субъектам малого и среднего предпринимательства.</w:t>
      </w:r>
    </w:p>
    <w:p w:rsidR="000930B8" w:rsidRDefault="000930B8" w:rsidP="00093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20B22"/>
        </w:rPr>
      </w:pPr>
      <w:proofErr w:type="gramStart"/>
      <w:r w:rsidRPr="000930B8">
        <w:rPr>
          <w:rStyle w:val="a4"/>
          <w:rFonts w:ascii="Roboto" w:hAnsi="Roboto"/>
          <w:b w:val="0"/>
          <w:color w:val="020B22"/>
        </w:rPr>
        <w:t>Имущественная поддержка малого и среднего предпринимательства</w:t>
      </w:r>
      <w:r>
        <w:rPr>
          <w:rFonts w:ascii="Roboto" w:hAnsi="Roboto"/>
          <w:color w:val="020B22"/>
        </w:rPr>
        <w:t> 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>
        <w:rPr>
          <w:rFonts w:ascii="Roboto" w:hAnsi="Roboto"/>
          <w:color w:val="020B22"/>
        </w:rPr>
        <w:t xml:space="preserve"> Указанное имущество должно использоваться по целевому назначению.</w:t>
      </w:r>
    </w:p>
    <w:p w:rsidR="000930B8" w:rsidRPr="000930B8" w:rsidRDefault="000930B8" w:rsidP="000930B8">
      <w:pPr>
        <w:shd w:val="clear" w:color="auto" w:fill="FFFFFF"/>
        <w:spacing w:after="0" w:line="300" w:lineRule="atLeast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0930B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Поддержка оказывается в различных незапрещенных действующим законодательством формах: аренда, в </w:t>
      </w:r>
      <w:proofErr w:type="spellStart"/>
      <w:r w:rsidRPr="000930B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т.ч</w:t>
      </w:r>
      <w:proofErr w:type="spellEnd"/>
      <w:r w:rsidRPr="000930B8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 земельных и лесных участков, ссуда, или безвозмездное пользование, лизинг, концессия и др.</w:t>
      </w:r>
    </w:p>
    <w:p w:rsidR="00930DAE" w:rsidRPr="00000EA4" w:rsidRDefault="00930DAE" w:rsidP="00930DAE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</w:p>
    <w:sectPr w:rsidR="00930DAE" w:rsidRPr="00000EA4" w:rsidSect="00C9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709"/>
    <w:multiLevelType w:val="multilevel"/>
    <w:tmpl w:val="B55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4ABD"/>
    <w:multiLevelType w:val="multilevel"/>
    <w:tmpl w:val="06A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46F59"/>
    <w:multiLevelType w:val="multilevel"/>
    <w:tmpl w:val="0D1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50"/>
    <w:rsid w:val="000930B8"/>
    <w:rsid w:val="003F1E2A"/>
    <w:rsid w:val="005C19E7"/>
    <w:rsid w:val="007E0050"/>
    <w:rsid w:val="00930DAE"/>
    <w:rsid w:val="00934FC5"/>
    <w:rsid w:val="00A75C31"/>
    <w:rsid w:val="00C911EB"/>
    <w:rsid w:val="00D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AE"/>
  </w:style>
  <w:style w:type="paragraph" w:styleId="1">
    <w:name w:val="heading 1"/>
    <w:basedOn w:val="a"/>
    <w:next w:val="a"/>
    <w:link w:val="10"/>
    <w:uiPriority w:val="9"/>
    <w:qFormat/>
    <w:rsid w:val="0009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B8"/>
    <w:rPr>
      <w:b/>
      <w:bCs/>
    </w:rPr>
  </w:style>
  <w:style w:type="character" w:styleId="a5">
    <w:name w:val="Hyperlink"/>
    <w:basedOn w:val="a0"/>
    <w:uiPriority w:val="99"/>
    <w:semiHidden/>
    <w:unhideWhenUsed/>
    <w:rsid w:val="00093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AE"/>
  </w:style>
  <w:style w:type="paragraph" w:styleId="1">
    <w:name w:val="heading 1"/>
    <w:basedOn w:val="a"/>
    <w:next w:val="a"/>
    <w:link w:val="10"/>
    <w:uiPriority w:val="9"/>
    <w:qFormat/>
    <w:rsid w:val="0009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B8"/>
    <w:rPr>
      <w:b/>
      <w:bCs/>
    </w:rPr>
  </w:style>
  <w:style w:type="character" w:styleId="a5">
    <w:name w:val="Hyperlink"/>
    <w:basedOn w:val="a0"/>
    <w:uiPriority w:val="99"/>
    <w:semiHidden/>
    <w:unhideWhenUsed/>
    <w:rsid w:val="0009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land.ru/activity/207/edit/%D0%B3%D0%BE%D1%81%D1%83%D0%B4%D0%B0%D1%80%D1%81%D1%82%D0%B2%D0%B5%D0%BD%D0%BD%D0%B0%D1%8F%20%D0%BF%D1%80%D0%BE%D0%B3%D1%80%D0%B0%D0%BC%D0%BC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admin</cp:lastModifiedBy>
  <cp:revision>6</cp:revision>
  <dcterms:created xsi:type="dcterms:W3CDTF">2021-04-02T07:30:00Z</dcterms:created>
  <dcterms:modified xsi:type="dcterms:W3CDTF">2022-03-09T16:12:00Z</dcterms:modified>
</cp:coreProperties>
</file>